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4325EA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6B37CC">
              <w:rPr>
                <w:rFonts w:asciiTheme="majorHAnsi" w:eastAsiaTheme="majorEastAsia" w:hAnsiTheme="majorHAnsi" w:cstheme="majorBidi"/>
                <w:sz w:val="36"/>
                <w:szCs w:val="36"/>
              </w:rPr>
              <w:t>MART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187E80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</w:t>
            </w:r>
            <w:r w:rsidR="006B37CC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Mart</w:t>
            </w:r>
            <w:r w:rsidR="004325EA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2018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6B37CC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4325EA">
        <w:rPr>
          <w:rFonts w:ascii="Times New Roman" w:hAnsi="Times New Roman" w:cs="Times New Roman"/>
          <w:b/>
          <w:sz w:val="24"/>
          <w:szCs w:val="24"/>
        </w:rPr>
        <w:t>2018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 w:rsidR="00187E8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Mart</w:t>
      </w:r>
      <w:r w:rsidR="004325EA">
        <w:rPr>
          <w:rFonts w:ascii="Times New Roman" w:hAnsi="Times New Roman" w:cs="Times New Roman"/>
          <w:b/>
          <w:sz w:val="24"/>
          <w:szCs w:val="24"/>
        </w:rPr>
        <w:t>2018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Pr="0055302A" w:rsidRDefault="00586863" w:rsidP="00912B49">
      <w:pPr>
        <w:pStyle w:val="Balk2"/>
        <w:jc w:val="both"/>
        <w:rPr>
          <w:rFonts w:cs="Times New Roman"/>
        </w:rPr>
      </w:pPr>
      <w:r w:rsidRPr="0055302A">
        <w:rPr>
          <w:rFonts w:cs="Times New Roman"/>
        </w:rPr>
        <w:t>Tüketici Gü</w:t>
      </w:r>
      <w:r w:rsidR="00CF4E84">
        <w:rPr>
          <w:rFonts w:cs="Times New Roman"/>
        </w:rPr>
        <w:t>ven Endeksi bir önceki ay</w:t>
      </w:r>
      <w:r w:rsidR="00432C3D">
        <w:rPr>
          <w:rFonts w:cs="Times New Roman"/>
        </w:rPr>
        <w:t>a göreazalış sergilemiştir</w:t>
      </w:r>
      <w:r w:rsidR="00187E80">
        <w:rPr>
          <w:rFonts w:cs="Times New Roman"/>
        </w:rPr>
        <w:t>.</w:t>
      </w:r>
    </w:p>
    <w:p w:rsidR="00586863" w:rsidRDefault="00B65D62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6B37CC">
        <w:rPr>
          <w:rFonts w:ascii="Times New Roman" w:hAnsi="Times New Roman" w:cs="Times New Roman"/>
          <w:sz w:val="24"/>
          <w:szCs w:val="24"/>
        </w:rPr>
        <w:t>Şubat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187E80">
        <w:rPr>
          <w:rFonts w:ascii="Times New Roman" w:hAnsi="Times New Roman" w:cs="Times New Roman"/>
          <w:sz w:val="24"/>
          <w:szCs w:val="24"/>
        </w:rPr>
        <w:t>72.3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4325EA">
        <w:rPr>
          <w:rFonts w:ascii="Times New Roman" w:hAnsi="Times New Roman" w:cs="Times New Roman"/>
          <w:sz w:val="24"/>
          <w:szCs w:val="24"/>
        </w:rPr>
        <w:t>2018</w:t>
      </w:r>
      <w:r w:rsidR="006B37CC">
        <w:rPr>
          <w:rFonts w:ascii="Times New Roman" w:hAnsi="Times New Roman" w:cs="Times New Roman"/>
          <w:sz w:val="24"/>
          <w:szCs w:val="24"/>
        </w:rPr>
        <w:t>Mart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</w:t>
      </w:r>
      <w:r w:rsidR="00432C3D">
        <w:rPr>
          <w:rFonts w:ascii="Times New Roman" w:hAnsi="Times New Roman" w:cs="Times New Roman"/>
          <w:sz w:val="24"/>
          <w:szCs w:val="24"/>
        </w:rPr>
        <w:t>1 puan azalarak</w:t>
      </w:r>
      <w:r w:rsidR="00CD3966">
        <w:rPr>
          <w:rFonts w:ascii="Times New Roman" w:hAnsi="Times New Roman" w:cs="Times New Roman"/>
          <w:sz w:val="24"/>
          <w:szCs w:val="24"/>
        </w:rPr>
        <w:t>,</w:t>
      </w:r>
      <w:r w:rsidR="00432C3D">
        <w:rPr>
          <w:rFonts w:ascii="Times New Roman" w:hAnsi="Times New Roman" w:cs="Times New Roman"/>
          <w:sz w:val="24"/>
          <w:szCs w:val="24"/>
        </w:rPr>
        <w:t>71</w:t>
      </w:r>
      <w:r w:rsidR="00E02555">
        <w:rPr>
          <w:rFonts w:ascii="Times New Roman" w:hAnsi="Times New Roman" w:cs="Times New Roman"/>
          <w:sz w:val="24"/>
          <w:szCs w:val="24"/>
        </w:rPr>
        <w:t>.3</w:t>
      </w:r>
      <w:r w:rsidR="008E2FD0">
        <w:rPr>
          <w:rFonts w:ascii="Times New Roman" w:hAnsi="Times New Roman" w:cs="Times New Roman"/>
          <w:sz w:val="24"/>
          <w:szCs w:val="24"/>
        </w:rPr>
        <w:t xml:space="preserve"> puan</w:t>
      </w:r>
      <w:r w:rsidR="00432C3D">
        <w:rPr>
          <w:rFonts w:ascii="Times New Roman" w:hAnsi="Times New Roman" w:cs="Times New Roman"/>
          <w:sz w:val="24"/>
          <w:szCs w:val="24"/>
        </w:rPr>
        <w:t>seviyesine gerilemiştir</w:t>
      </w:r>
      <w:r w:rsidR="00AC7A7D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r w:rsidR="00432C3D">
        <w:rPr>
          <w:rFonts w:ascii="Times New Roman" w:hAnsi="Times New Roman" w:cs="Times New Roman"/>
          <w:sz w:val="24"/>
          <w:szCs w:val="24"/>
        </w:rPr>
        <w:t>3.5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6246B1">
        <w:rPr>
          <w:rFonts w:ascii="Times New Roman" w:hAnsi="Times New Roman" w:cs="Times New Roman"/>
          <w:sz w:val="24"/>
          <w:szCs w:val="24"/>
        </w:rPr>
        <w:t>artış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416259">
        <w:fldChar w:fldCharType="begin"/>
      </w:r>
      <w:r w:rsidR="009A24D6">
        <w:instrText xml:space="preserve"> SEQ Şekil \* ARABIC </w:instrText>
      </w:r>
      <w:r w:rsidR="00416259">
        <w:fldChar w:fldCharType="separate"/>
      </w:r>
      <w:r w:rsidR="00CF4E84">
        <w:rPr>
          <w:noProof/>
        </w:rPr>
        <w:t>1</w:t>
      </w:r>
      <w:r w:rsidR="00416259">
        <w:rPr>
          <w:noProof/>
        </w:rPr>
        <w:fldChar w:fldCharType="end"/>
      </w:r>
      <w:r>
        <w:t>: Tüketici Güven En</w:t>
      </w:r>
      <w:r w:rsidR="008D482D">
        <w:t>deksi (</w:t>
      </w:r>
      <w:r w:rsidR="006B37CC">
        <w:t>Ocak</w:t>
      </w:r>
      <w:r w:rsidR="004325EA">
        <w:t xml:space="preserve"> 2017</w:t>
      </w:r>
      <w:r>
        <w:t>-</w:t>
      </w:r>
      <w:r w:rsidR="006B37CC">
        <w:t>Mart</w:t>
      </w:r>
      <w:r w:rsidR="004325EA">
        <w:t>2018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047117" cy="3200400"/>
            <wp:effectExtent l="0" t="0" r="10795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656D94">
        <w:rPr>
          <w:rFonts w:ascii="Times New Roman" w:hAnsi="Times New Roman" w:cs="Times New Roman"/>
          <w:sz w:val="24"/>
          <w:szCs w:val="24"/>
        </w:rPr>
        <w:t>işsiz sayısındaki düşüş beklentisinin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56D94">
        <w:rPr>
          <w:rFonts w:ascii="Times New Roman" w:hAnsi="Times New Roman" w:cs="Times New Roman"/>
          <w:sz w:val="24"/>
          <w:szCs w:val="24"/>
        </w:rPr>
        <w:t>1.8</w:t>
      </w:r>
      <w:r w:rsidR="00912B49">
        <w:rPr>
          <w:rFonts w:ascii="Times New Roman" w:hAnsi="Times New Roman" w:cs="Times New Roman"/>
          <w:sz w:val="24"/>
          <w:szCs w:val="24"/>
        </w:rPr>
        <w:t>puan) ve</w:t>
      </w:r>
      <w:r w:rsidR="00656D94">
        <w:rPr>
          <w:rFonts w:ascii="Times New Roman" w:hAnsi="Times New Roman" w:cs="Times New Roman"/>
          <w:sz w:val="24"/>
          <w:szCs w:val="24"/>
        </w:rPr>
        <w:t>genel ekonomik</w:t>
      </w:r>
      <w:r w:rsidR="00187E80">
        <w:rPr>
          <w:rFonts w:ascii="Times New Roman" w:hAnsi="Times New Roman" w:cs="Times New Roman"/>
          <w:sz w:val="24"/>
          <w:szCs w:val="24"/>
        </w:rPr>
        <w:t xml:space="preserve"> durum beklentisinin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56D94">
        <w:rPr>
          <w:rFonts w:ascii="Times New Roman" w:hAnsi="Times New Roman" w:cs="Times New Roman"/>
          <w:sz w:val="24"/>
          <w:szCs w:val="24"/>
        </w:rPr>
        <w:t>1.7</w:t>
      </w:r>
      <w:r w:rsidR="00055C6E">
        <w:rPr>
          <w:rFonts w:ascii="Times New Roman" w:hAnsi="Times New Roman" w:cs="Times New Roman"/>
          <w:sz w:val="24"/>
          <w:szCs w:val="24"/>
        </w:rPr>
        <w:t xml:space="preserve"> puan</w:t>
      </w:r>
      <w:r w:rsidR="00BF0B58">
        <w:rPr>
          <w:rFonts w:ascii="Times New Roman" w:hAnsi="Times New Roman" w:cs="Times New Roman"/>
          <w:sz w:val="24"/>
          <w:szCs w:val="24"/>
        </w:rPr>
        <w:t xml:space="preserve">) </w:t>
      </w:r>
      <w:r w:rsidR="00656D94">
        <w:rPr>
          <w:rFonts w:ascii="Times New Roman" w:hAnsi="Times New Roman" w:cs="Times New Roman"/>
          <w:sz w:val="24"/>
          <w:szCs w:val="24"/>
        </w:rPr>
        <w:t>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inyanı sıra</w:t>
      </w:r>
      <w:r w:rsidR="00656D94">
        <w:rPr>
          <w:rFonts w:ascii="Times New Roman" w:hAnsi="Times New Roman" w:cs="Times New Roman"/>
          <w:sz w:val="24"/>
          <w:szCs w:val="24"/>
        </w:rPr>
        <w:t>hanenin maddi durum</w:t>
      </w:r>
      <w:r w:rsidR="000F1F24">
        <w:rPr>
          <w:rFonts w:ascii="Times New Roman" w:hAnsi="Times New Roman" w:cs="Times New Roman"/>
          <w:sz w:val="24"/>
          <w:szCs w:val="24"/>
        </w:rPr>
        <w:t xml:space="preserve"> beklentisinin0.7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0F1F24">
        <w:rPr>
          <w:rFonts w:ascii="Times New Roman" w:hAnsi="Times New Roman" w:cs="Times New Roman"/>
          <w:sz w:val="24"/>
          <w:szCs w:val="24"/>
        </w:rPr>
        <w:t>azaldığı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0F1F24">
        <w:rPr>
          <w:rFonts w:ascii="Times New Roman" w:hAnsi="Times New Roman" w:cs="Times New Roman"/>
          <w:sz w:val="24"/>
          <w:szCs w:val="24"/>
        </w:rPr>
        <w:t>Tasarruf etme ihtimali</w:t>
      </w:r>
      <w:r w:rsidR="002E6E46">
        <w:rPr>
          <w:rFonts w:ascii="Times New Roman" w:hAnsi="Times New Roman" w:cs="Times New Roman"/>
          <w:sz w:val="24"/>
          <w:szCs w:val="24"/>
        </w:rPr>
        <w:t xml:space="preserve"> ise bir önceki aya </w:t>
      </w:r>
      <w:r w:rsidR="00656D94">
        <w:rPr>
          <w:rFonts w:ascii="Times New Roman" w:hAnsi="Times New Roman" w:cs="Times New Roman"/>
          <w:sz w:val="24"/>
          <w:szCs w:val="24"/>
        </w:rPr>
        <w:t>göre 0.3</w:t>
      </w:r>
      <w:r w:rsidR="00152AB9">
        <w:rPr>
          <w:rFonts w:ascii="Times New Roman" w:hAnsi="Times New Roman" w:cs="Times New Roman"/>
          <w:sz w:val="24"/>
          <w:szCs w:val="24"/>
        </w:rPr>
        <w:t xml:space="preserve"> puan </w:t>
      </w:r>
      <w:r w:rsidR="00656D94">
        <w:rPr>
          <w:rFonts w:ascii="Times New Roman" w:hAnsi="Times New Roman" w:cs="Times New Roman"/>
          <w:sz w:val="24"/>
          <w:szCs w:val="24"/>
        </w:rPr>
        <w:t>artış</w:t>
      </w:r>
      <w:r w:rsidR="00152AB9">
        <w:rPr>
          <w:rFonts w:ascii="Times New Roman" w:hAnsi="Times New Roman" w:cs="Times New Roman"/>
          <w:sz w:val="24"/>
          <w:szCs w:val="24"/>
        </w:rPr>
        <w:t xml:space="preserve"> göstermiştir.</w:t>
      </w:r>
      <w:bookmarkStart w:id="0" w:name="_GoBack"/>
      <w:bookmarkEnd w:id="0"/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6E46" w:rsidRDefault="002E6E46" w:rsidP="00912B49">
      <w:pPr>
        <w:pStyle w:val="ResimYazs"/>
        <w:keepNext/>
        <w:jc w:val="both"/>
      </w:pPr>
    </w:p>
    <w:p w:rsidR="00F758EF" w:rsidRPr="00F758EF" w:rsidRDefault="00F758EF" w:rsidP="00F758EF"/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416259">
        <w:fldChar w:fldCharType="begin"/>
      </w:r>
      <w:r w:rsidR="009A24D6">
        <w:instrText xml:space="preserve"> SEQ Tablo \* ARABIC </w:instrText>
      </w:r>
      <w:r w:rsidR="00416259">
        <w:fldChar w:fldCharType="separate"/>
      </w:r>
      <w:r w:rsidR="00CF4E84">
        <w:rPr>
          <w:noProof/>
        </w:rPr>
        <w:t>1</w:t>
      </w:r>
      <w:r w:rsidR="00416259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/>
      </w:tblPr>
      <w:tblGrid>
        <w:gridCol w:w="3511"/>
        <w:gridCol w:w="1279"/>
        <w:gridCol w:w="1328"/>
        <w:gridCol w:w="1300"/>
        <w:gridCol w:w="1300"/>
      </w:tblGrid>
      <w:tr w:rsidR="004E7EAF" w:rsidRPr="00DC3CEB" w:rsidTr="00146AE4">
        <w:trPr>
          <w:cnfStyle w:val="100000000000"/>
          <w:trHeight w:val="319"/>
        </w:trPr>
        <w:tc>
          <w:tcPr>
            <w:cnfStyle w:val="001000000000"/>
            <w:tcW w:w="3511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Default="004E7EAF" w:rsidP="004E7EA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146AE4">
        <w:trPr>
          <w:cnfStyle w:val="000000100000"/>
          <w:trHeight w:val="319"/>
        </w:trPr>
        <w:tc>
          <w:tcPr>
            <w:cnfStyle w:val="001000000000"/>
            <w:tcW w:w="3511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4E7EAF" w:rsidRPr="00415908" w:rsidRDefault="006B37CC" w:rsidP="00781A2B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Şubat</w:t>
            </w:r>
            <w:r w:rsidR="00F758E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’18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6B37CC" w:rsidP="00781A2B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Mart</w:t>
            </w:r>
            <w:r w:rsidR="00493D11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’</w:t>
            </w:r>
            <w:r w:rsidR="004325EA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18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00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6B37CC" w:rsidRPr="00146AE4" w:rsidTr="00146AE4">
        <w:trPr>
          <w:trHeight w:val="494"/>
        </w:trPr>
        <w:tc>
          <w:tcPr>
            <w:cnfStyle w:val="001000000000"/>
            <w:tcW w:w="3511" w:type="dxa"/>
            <w:hideMark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72.3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71.3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-0.1</w:t>
            </w:r>
          </w:p>
        </w:tc>
        <w:tc>
          <w:tcPr>
            <w:tcW w:w="1300" w:type="dxa"/>
          </w:tcPr>
          <w:p w:rsidR="006B37CC" w:rsidRPr="00146AE4" w:rsidRDefault="006B37CC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-1.3</w:t>
            </w:r>
          </w:p>
        </w:tc>
      </w:tr>
      <w:tr w:rsidR="006B37CC" w:rsidRPr="00146AE4" w:rsidTr="00146AE4">
        <w:trPr>
          <w:cnfStyle w:val="000000100000"/>
          <w:trHeight w:val="446"/>
        </w:trPr>
        <w:tc>
          <w:tcPr>
            <w:cnfStyle w:val="001000000000"/>
            <w:tcW w:w="3511" w:type="dxa"/>
            <w:hideMark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91.3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90.6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0.2</w:t>
            </w:r>
          </w:p>
        </w:tc>
        <w:tc>
          <w:tcPr>
            <w:tcW w:w="1300" w:type="dxa"/>
          </w:tcPr>
          <w:p w:rsidR="006B37CC" w:rsidRPr="00146AE4" w:rsidRDefault="006B37CC" w:rsidP="00BB6821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-0.7</w:t>
            </w:r>
          </w:p>
        </w:tc>
      </w:tr>
      <w:tr w:rsidR="006B37CC" w:rsidRPr="00146AE4" w:rsidTr="00146AE4">
        <w:trPr>
          <w:trHeight w:val="446"/>
        </w:trPr>
        <w:tc>
          <w:tcPr>
            <w:cnfStyle w:val="001000000000"/>
            <w:tcW w:w="3511" w:type="dxa"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96.8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95.1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0.7</w:t>
            </w:r>
          </w:p>
        </w:tc>
        <w:tc>
          <w:tcPr>
            <w:tcW w:w="1300" w:type="dxa"/>
          </w:tcPr>
          <w:p w:rsidR="006B37CC" w:rsidRPr="00146AE4" w:rsidRDefault="006B37CC" w:rsidP="00BB6821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-1.7</w:t>
            </w:r>
          </w:p>
        </w:tc>
      </w:tr>
      <w:tr w:rsidR="006B37CC" w:rsidRPr="00146AE4" w:rsidTr="00146AE4">
        <w:trPr>
          <w:cnfStyle w:val="000000100000"/>
          <w:trHeight w:val="400"/>
        </w:trPr>
        <w:tc>
          <w:tcPr>
            <w:cnfStyle w:val="001000000000"/>
            <w:tcW w:w="3511" w:type="dxa"/>
            <w:noWrap/>
            <w:hideMark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75.3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73.5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-0.9</w:t>
            </w:r>
          </w:p>
        </w:tc>
        <w:tc>
          <w:tcPr>
            <w:tcW w:w="1300" w:type="dxa"/>
          </w:tcPr>
          <w:p w:rsidR="006B37CC" w:rsidRPr="00146AE4" w:rsidRDefault="006B37CC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-2.4</w:t>
            </w:r>
          </w:p>
        </w:tc>
      </w:tr>
      <w:tr w:rsidR="006B37CC" w:rsidRPr="00146AE4" w:rsidTr="00146AE4">
        <w:trPr>
          <w:trHeight w:val="542"/>
        </w:trPr>
        <w:tc>
          <w:tcPr>
            <w:cnfStyle w:val="001000000000"/>
            <w:tcW w:w="3511" w:type="dxa"/>
            <w:noWrap/>
          </w:tcPr>
          <w:p w:rsidR="006B37CC" w:rsidRPr="00146AE4" w:rsidRDefault="006B37CC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146AE4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6B37CC" w:rsidRPr="00146AE4" w:rsidRDefault="006B37CC" w:rsidP="005B5DB9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25.7</w:t>
            </w:r>
          </w:p>
        </w:tc>
        <w:tc>
          <w:tcPr>
            <w:tcW w:w="1328" w:type="dxa"/>
            <w:noWrap/>
          </w:tcPr>
          <w:p w:rsidR="006B37CC" w:rsidRPr="00146AE4" w:rsidRDefault="006B37CC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26.0</w:t>
            </w:r>
          </w:p>
        </w:tc>
        <w:tc>
          <w:tcPr>
            <w:tcW w:w="1300" w:type="dxa"/>
          </w:tcPr>
          <w:p w:rsidR="006B37CC" w:rsidRPr="00146AE4" w:rsidRDefault="006B37CC" w:rsidP="005B5DB9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-1.9</w:t>
            </w:r>
          </w:p>
        </w:tc>
        <w:tc>
          <w:tcPr>
            <w:tcW w:w="1300" w:type="dxa"/>
          </w:tcPr>
          <w:p w:rsidR="006B37CC" w:rsidRPr="00146AE4" w:rsidRDefault="006B37CC" w:rsidP="00C14DF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1.2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1EC" w:rsidRDefault="004531EC" w:rsidP="007065F8">
      <w:pPr>
        <w:spacing w:after="0" w:line="240" w:lineRule="auto"/>
      </w:pPr>
      <w:r>
        <w:separator/>
      </w:r>
    </w:p>
  </w:endnote>
  <w:endnote w:type="continuationSeparator" w:id="1">
    <w:p w:rsidR="004531EC" w:rsidRDefault="004531EC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1EC" w:rsidRDefault="004531EC" w:rsidP="007065F8">
      <w:pPr>
        <w:spacing w:after="0" w:line="240" w:lineRule="auto"/>
      </w:pPr>
      <w:r>
        <w:separator/>
      </w:r>
    </w:p>
  </w:footnote>
  <w:footnote w:type="continuationSeparator" w:id="1">
    <w:p w:rsidR="004531EC" w:rsidRDefault="004531EC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5E5"/>
    <w:rsid w:val="00020CDC"/>
    <w:rsid w:val="00054844"/>
    <w:rsid w:val="000553EA"/>
    <w:rsid w:val="00055C6E"/>
    <w:rsid w:val="00056A46"/>
    <w:rsid w:val="00062BA2"/>
    <w:rsid w:val="00073962"/>
    <w:rsid w:val="000758DE"/>
    <w:rsid w:val="00095ABD"/>
    <w:rsid w:val="000A043A"/>
    <w:rsid w:val="000A458B"/>
    <w:rsid w:val="000B30D2"/>
    <w:rsid w:val="000D3F6D"/>
    <w:rsid w:val="000E3F12"/>
    <w:rsid w:val="000F0EB3"/>
    <w:rsid w:val="000F178D"/>
    <w:rsid w:val="000F1F24"/>
    <w:rsid w:val="00114F4D"/>
    <w:rsid w:val="001428F3"/>
    <w:rsid w:val="00146AE4"/>
    <w:rsid w:val="001504A1"/>
    <w:rsid w:val="00152AB9"/>
    <w:rsid w:val="001569B6"/>
    <w:rsid w:val="00161A8A"/>
    <w:rsid w:val="00173FEC"/>
    <w:rsid w:val="00184AC2"/>
    <w:rsid w:val="001871D2"/>
    <w:rsid w:val="00187E80"/>
    <w:rsid w:val="0019235B"/>
    <w:rsid w:val="00194C9C"/>
    <w:rsid w:val="001A1012"/>
    <w:rsid w:val="001B2F25"/>
    <w:rsid w:val="001C338D"/>
    <w:rsid w:val="001C43D2"/>
    <w:rsid w:val="001C67C3"/>
    <w:rsid w:val="001C6B53"/>
    <w:rsid w:val="001F27B9"/>
    <w:rsid w:val="001F424F"/>
    <w:rsid w:val="002031C4"/>
    <w:rsid w:val="002073D0"/>
    <w:rsid w:val="00210E94"/>
    <w:rsid w:val="00221D68"/>
    <w:rsid w:val="00226208"/>
    <w:rsid w:val="0022657E"/>
    <w:rsid w:val="002414A1"/>
    <w:rsid w:val="0024192E"/>
    <w:rsid w:val="00242BC9"/>
    <w:rsid w:val="00252D2E"/>
    <w:rsid w:val="00262B9C"/>
    <w:rsid w:val="0026666F"/>
    <w:rsid w:val="002726F9"/>
    <w:rsid w:val="0028634E"/>
    <w:rsid w:val="00290392"/>
    <w:rsid w:val="00290F0E"/>
    <w:rsid w:val="002A1E0B"/>
    <w:rsid w:val="002A5F01"/>
    <w:rsid w:val="002B0CF0"/>
    <w:rsid w:val="002C1928"/>
    <w:rsid w:val="002C4B95"/>
    <w:rsid w:val="002C6F9B"/>
    <w:rsid w:val="002E6E46"/>
    <w:rsid w:val="002F4A53"/>
    <w:rsid w:val="003037E9"/>
    <w:rsid w:val="00344B2B"/>
    <w:rsid w:val="003511D0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16259"/>
    <w:rsid w:val="00421F8C"/>
    <w:rsid w:val="0043007D"/>
    <w:rsid w:val="004325EA"/>
    <w:rsid w:val="00432C3D"/>
    <w:rsid w:val="004359C5"/>
    <w:rsid w:val="00446E52"/>
    <w:rsid w:val="004531EC"/>
    <w:rsid w:val="004676F0"/>
    <w:rsid w:val="00482B3D"/>
    <w:rsid w:val="00484BAA"/>
    <w:rsid w:val="00485E5A"/>
    <w:rsid w:val="004875A2"/>
    <w:rsid w:val="0049109E"/>
    <w:rsid w:val="00491E0B"/>
    <w:rsid w:val="0049346B"/>
    <w:rsid w:val="00493D11"/>
    <w:rsid w:val="004A262B"/>
    <w:rsid w:val="004A6869"/>
    <w:rsid w:val="004D2DC1"/>
    <w:rsid w:val="004E3923"/>
    <w:rsid w:val="004E7EAF"/>
    <w:rsid w:val="004F1EF8"/>
    <w:rsid w:val="004F4715"/>
    <w:rsid w:val="0050095C"/>
    <w:rsid w:val="00503902"/>
    <w:rsid w:val="00507985"/>
    <w:rsid w:val="00514C5A"/>
    <w:rsid w:val="00515342"/>
    <w:rsid w:val="00520621"/>
    <w:rsid w:val="005264FC"/>
    <w:rsid w:val="00530424"/>
    <w:rsid w:val="00532754"/>
    <w:rsid w:val="005376C1"/>
    <w:rsid w:val="005417C1"/>
    <w:rsid w:val="005434B9"/>
    <w:rsid w:val="0055302A"/>
    <w:rsid w:val="00564E68"/>
    <w:rsid w:val="005727E5"/>
    <w:rsid w:val="005739CF"/>
    <w:rsid w:val="00576618"/>
    <w:rsid w:val="00583DB0"/>
    <w:rsid w:val="00586863"/>
    <w:rsid w:val="005A3067"/>
    <w:rsid w:val="005A48CE"/>
    <w:rsid w:val="005A5D22"/>
    <w:rsid w:val="005A6689"/>
    <w:rsid w:val="005B1BF7"/>
    <w:rsid w:val="005C2714"/>
    <w:rsid w:val="005D3B67"/>
    <w:rsid w:val="005D73E9"/>
    <w:rsid w:val="005E5A3C"/>
    <w:rsid w:val="005F5743"/>
    <w:rsid w:val="006005D1"/>
    <w:rsid w:val="00610460"/>
    <w:rsid w:val="00620F8B"/>
    <w:rsid w:val="006245E5"/>
    <w:rsid w:val="006246B1"/>
    <w:rsid w:val="00630BCE"/>
    <w:rsid w:val="00631B83"/>
    <w:rsid w:val="006335FB"/>
    <w:rsid w:val="00634912"/>
    <w:rsid w:val="00641DA1"/>
    <w:rsid w:val="00656D94"/>
    <w:rsid w:val="0066304C"/>
    <w:rsid w:val="00663970"/>
    <w:rsid w:val="00677CBE"/>
    <w:rsid w:val="00697924"/>
    <w:rsid w:val="006A47B3"/>
    <w:rsid w:val="006B1E56"/>
    <w:rsid w:val="006B3567"/>
    <w:rsid w:val="006B37CC"/>
    <w:rsid w:val="006C59D9"/>
    <w:rsid w:val="006E0E9A"/>
    <w:rsid w:val="006E72F9"/>
    <w:rsid w:val="006F1D8E"/>
    <w:rsid w:val="007065F8"/>
    <w:rsid w:val="0071039D"/>
    <w:rsid w:val="007136FB"/>
    <w:rsid w:val="00715D97"/>
    <w:rsid w:val="00717468"/>
    <w:rsid w:val="00723AC6"/>
    <w:rsid w:val="00727627"/>
    <w:rsid w:val="0075084D"/>
    <w:rsid w:val="00755294"/>
    <w:rsid w:val="00781A2B"/>
    <w:rsid w:val="007900DC"/>
    <w:rsid w:val="007B192F"/>
    <w:rsid w:val="007B24FA"/>
    <w:rsid w:val="007B61FB"/>
    <w:rsid w:val="007C519C"/>
    <w:rsid w:val="007D0079"/>
    <w:rsid w:val="007D0774"/>
    <w:rsid w:val="007D2264"/>
    <w:rsid w:val="007E179F"/>
    <w:rsid w:val="00807C5E"/>
    <w:rsid w:val="00814818"/>
    <w:rsid w:val="00831DF9"/>
    <w:rsid w:val="008337FA"/>
    <w:rsid w:val="00835F32"/>
    <w:rsid w:val="00847CB4"/>
    <w:rsid w:val="00853C0E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696B"/>
    <w:rsid w:val="008D2180"/>
    <w:rsid w:val="008D2ACB"/>
    <w:rsid w:val="008D482D"/>
    <w:rsid w:val="008D4FB1"/>
    <w:rsid w:val="008D5DFE"/>
    <w:rsid w:val="008D70F1"/>
    <w:rsid w:val="008E2FD0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77EA"/>
    <w:rsid w:val="009661E0"/>
    <w:rsid w:val="009904DB"/>
    <w:rsid w:val="009912EC"/>
    <w:rsid w:val="009A24D6"/>
    <w:rsid w:val="009A35D6"/>
    <w:rsid w:val="009B1F75"/>
    <w:rsid w:val="009B6A74"/>
    <w:rsid w:val="009C12C4"/>
    <w:rsid w:val="009C1C4D"/>
    <w:rsid w:val="009C2513"/>
    <w:rsid w:val="009D0927"/>
    <w:rsid w:val="009D1DF7"/>
    <w:rsid w:val="009D69B9"/>
    <w:rsid w:val="009F1D4B"/>
    <w:rsid w:val="00A07D02"/>
    <w:rsid w:val="00A1081E"/>
    <w:rsid w:val="00A17164"/>
    <w:rsid w:val="00A26AA6"/>
    <w:rsid w:val="00A451EE"/>
    <w:rsid w:val="00A763A1"/>
    <w:rsid w:val="00AA13D5"/>
    <w:rsid w:val="00AA7E2B"/>
    <w:rsid w:val="00AB51C3"/>
    <w:rsid w:val="00AC40C0"/>
    <w:rsid w:val="00AC5535"/>
    <w:rsid w:val="00AC74CA"/>
    <w:rsid w:val="00AC7A7D"/>
    <w:rsid w:val="00AD3006"/>
    <w:rsid w:val="00AE095C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65D62"/>
    <w:rsid w:val="00B70A7B"/>
    <w:rsid w:val="00B77657"/>
    <w:rsid w:val="00B80EBA"/>
    <w:rsid w:val="00B85A44"/>
    <w:rsid w:val="00BA5148"/>
    <w:rsid w:val="00BB5528"/>
    <w:rsid w:val="00BB6821"/>
    <w:rsid w:val="00BD2522"/>
    <w:rsid w:val="00BD2FC9"/>
    <w:rsid w:val="00BE2814"/>
    <w:rsid w:val="00BF0B58"/>
    <w:rsid w:val="00C01B5E"/>
    <w:rsid w:val="00C02055"/>
    <w:rsid w:val="00C06435"/>
    <w:rsid w:val="00C11301"/>
    <w:rsid w:val="00C14DFF"/>
    <w:rsid w:val="00C27F45"/>
    <w:rsid w:val="00C37FE7"/>
    <w:rsid w:val="00C6528B"/>
    <w:rsid w:val="00C716E7"/>
    <w:rsid w:val="00C9031E"/>
    <w:rsid w:val="00C9368A"/>
    <w:rsid w:val="00C937CD"/>
    <w:rsid w:val="00C9591B"/>
    <w:rsid w:val="00C97101"/>
    <w:rsid w:val="00CA1907"/>
    <w:rsid w:val="00CA29C2"/>
    <w:rsid w:val="00CC5BA0"/>
    <w:rsid w:val="00CC774F"/>
    <w:rsid w:val="00CD2AF0"/>
    <w:rsid w:val="00CD3966"/>
    <w:rsid w:val="00CE0456"/>
    <w:rsid w:val="00CE209E"/>
    <w:rsid w:val="00CF20D8"/>
    <w:rsid w:val="00CF4E84"/>
    <w:rsid w:val="00CF66DE"/>
    <w:rsid w:val="00D01E80"/>
    <w:rsid w:val="00D06F30"/>
    <w:rsid w:val="00D17FFB"/>
    <w:rsid w:val="00D24657"/>
    <w:rsid w:val="00D24FB2"/>
    <w:rsid w:val="00D37763"/>
    <w:rsid w:val="00D60AC3"/>
    <w:rsid w:val="00D61952"/>
    <w:rsid w:val="00D63D85"/>
    <w:rsid w:val="00D71459"/>
    <w:rsid w:val="00D7148F"/>
    <w:rsid w:val="00D7444F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E5431"/>
    <w:rsid w:val="00E02555"/>
    <w:rsid w:val="00E0706D"/>
    <w:rsid w:val="00E173C6"/>
    <w:rsid w:val="00E313B7"/>
    <w:rsid w:val="00E402F1"/>
    <w:rsid w:val="00E45688"/>
    <w:rsid w:val="00E53300"/>
    <w:rsid w:val="00E60A5E"/>
    <w:rsid w:val="00E621A6"/>
    <w:rsid w:val="00E70292"/>
    <w:rsid w:val="00E82406"/>
    <w:rsid w:val="00E85590"/>
    <w:rsid w:val="00EA418F"/>
    <w:rsid w:val="00EA657D"/>
    <w:rsid w:val="00EC4D74"/>
    <w:rsid w:val="00ED1642"/>
    <w:rsid w:val="00ED623B"/>
    <w:rsid w:val="00EE4F00"/>
    <w:rsid w:val="00F00215"/>
    <w:rsid w:val="00F12DCB"/>
    <w:rsid w:val="00F26139"/>
    <w:rsid w:val="00F41337"/>
    <w:rsid w:val="00F56154"/>
    <w:rsid w:val="00F642FF"/>
    <w:rsid w:val="00F64EAF"/>
    <w:rsid w:val="00F71AEA"/>
    <w:rsid w:val="00F758EF"/>
    <w:rsid w:val="00F90C4B"/>
    <w:rsid w:val="00F91582"/>
    <w:rsid w:val="00F933E2"/>
    <w:rsid w:val="00F9707B"/>
    <w:rsid w:val="00FB1718"/>
    <w:rsid w:val="00FC6DBF"/>
    <w:rsid w:val="00FE4E35"/>
    <w:rsid w:val="00FF7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259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>
        <c:manualLayout>
          <c:layoutTarget val="inner"/>
          <c:xMode val="edge"/>
          <c:yMode val="edge"/>
          <c:x val="6.3854551470916621E-2"/>
          <c:y val="3.596487939007624E-2"/>
          <c:w val="0.92247032759577852"/>
          <c:h val="0.76096394200724882"/>
        </c:manualLayout>
      </c:layout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2"/>
              <c:layout>
                <c:manualLayout>
                  <c:x val="-2.0763348882861347E-2"/>
                  <c:y val="1.149793775778027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47095161656224E-2"/>
                  <c:y val="2.3402699662542187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3.8570898506094485E-2"/>
                  <c:y val="-3.612110986126735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8570898506094485E-2"/>
                  <c:y val="3.5307461567304091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3894181195984261E-2"/>
                  <c:y val="-4.4057617797775311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1.9909811414848323E-3"/>
                  <c:y val="-4.0682414698162752E-4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66.900000000000006</c:v>
                </c:pt>
                <c:pt idx="1">
                  <c:v>65.7</c:v>
                </c:pt>
                <c:pt idx="2">
                  <c:v>67.8</c:v>
                </c:pt>
                <c:pt idx="3" formatCode="0.0">
                  <c:v>71.3</c:v>
                </c:pt>
                <c:pt idx="4">
                  <c:v>72.8</c:v>
                </c:pt>
                <c:pt idx="5">
                  <c:v>70</c:v>
                </c:pt>
                <c:pt idx="6">
                  <c:v>71.3</c:v>
                </c:pt>
                <c:pt idx="7">
                  <c:v>71.099999999999994</c:v>
                </c:pt>
                <c:pt idx="8">
                  <c:v>68.7</c:v>
                </c:pt>
                <c:pt idx="9">
                  <c:v>67.3</c:v>
                </c:pt>
                <c:pt idx="10">
                  <c:v>65.2</c:v>
                </c:pt>
                <c:pt idx="11">
                  <c:v>65.099999999999994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0"/>
              <c:layout>
                <c:manualLayout>
                  <c:x val="-4.3867559822030368E-2"/>
                  <c:y val="4.769528808898887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5967506711562529E-2"/>
                  <c:y val="4.324365704286965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5998923239831166E-2"/>
                  <c:y val="-4.008936382952132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2196438622355479E-2"/>
                  <c:y val="-3.2152855893013386E-2"/>
                </c:manualLayout>
              </c:layout>
              <c:dLblPos val="r"/>
              <c:showVal val="1"/>
            </c:dLbl>
            <c:dLblPos val="t"/>
            <c:showVal val="1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72.3</c:v>
                </c:pt>
                <c:pt idx="1">
                  <c:v>72.3</c:v>
                </c:pt>
                <c:pt idx="2">
                  <c:v>71.3</c:v>
                </c:pt>
              </c:numCache>
            </c:numRef>
          </c:val>
        </c:ser>
        <c:dLbls>
          <c:showVal val="1"/>
        </c:dLbls>
        <c:marker val="1"/>
        <c:axId val="128975616"/>
        <c:axId val="128977152"/>
      </c:lineChart>
      <c:catAx>
        <c:axId val="128975616"/>
        <c:scaling>
          <c:orientation val="minMax"/>
        </c:scaling>
        <c:axPos val="b"/>
        <c:tickLblPos val="nextTo"/>
        <c:crossAx val="128977152"/>
        <c:crosses val="autoZero"/>
        <c:auto val="1"/>
        <c:lblAlgn val="ctr"/>
        <c:lblOffset val="100"/>
      </c:catAx>
      <c:valAx>
        <c:axId val="128977152"/>
        <c:scaling>
          <c:orientation val="minMax"/>
          <c:min val="55"/>
        </c:scaling>
        <c:axPos val="l"/>
        <c:numFmt formatCode="General" sourceLinked="1"/>
        <c:tickLblPos val="nextTo"/>
        <c:crossAx val="128975616"/>
        <c:crosses val="autoZero"/>
        <c:crossBetween val="between"/>
        <c:majorUnit val="5"/>
      </c:valAx>
      <c:spPr>
        <a:ln>
          <a:noFill/>
        </a:ln>
      </c:spPr>
    </c:plotArea>
    <c:legend>
      <c:legendPos val="b"/>
    </c:legend>
    <c:plotVisOnly val="1"/>
    <c:dispBlanksAs val="gap"/>
  </c:chart>
  <c:spPr>
    <a:ln w="3175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earic_000</cp:lastModifiedBy>
  <cp:revision>2</cp:revision>
  <cp:lastPrinted>2018-02-21T11:00:00Z</cp:lastPrinted>
  <dcterms:created xsi:type="dcterms:W3CDTF">2018-03-20T20:25:00Z</dcterms:created>
  <dcterms:modified xsi:type="dcterms:W3CDTF">2018-03-20T20:25:00Z</dcterms:modified>
</cp:coreProperties>
</file>